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D261" w14:textId="77777777" w:rsidR="00E367D6" w:rsidRPr="00E367D6" w:rsidRDefault="00E367D6" w:rsidP="00E367D6">
      <w:pPr>
        <w:keepNext/>
        <w:spacing w:after="0" w:line="240" w:lineRule="auto"/>
        <w:ind w:left="2160" w:hanging="2160"/>
        <w:jc w:val="both"/>
        <w:outlineLvl w:val="0"/>
        <w:rPr>
          <w:rFonts w:ascii="Georgia" w:eastAsia="Times New Roman" w:hAnsi="Georgia" w:cs="Times New Roman"/>
          <w:b/>
          <w:kern w:val="0"/>
          <w:sz w:val="23"/>
          <w:szCs w:val="23"/>
          <w:lang w:eastAsia="x-none"/>
          <w14:ligatures w14:val="none"/>
        </w:rPr>
      </w:pPr>
      <w:r w:rsidRPr="00E367D6">
        <w:rPr>
          <w:rFonts w:ascii="Georgia" w:eastAsia="Times New Roman" w:hAnsi="Georgia" w:cs="Times New Roman"/>
          <w:b/>
          <w:kern w:val="0"/>
          <w:sz w:val="23"/>
          <w:szCs w:val="23"/>
          <w:lang w:val="x-none" w:eastAsia="x-none"/>
          <w14:ligatures w14:val="none"/>
        </w:rPr>
        <w:t>CAPTION:</w:t>
      </w:r>
      <w:r w:rsidRPr="00E367D6">
        <w:rPr>
          <w:rFonts w:ascii="Georgia" w:eastAsia="Times New Roman" w:hAnsi="Georgia" w:cs="Times New Roman"/>
          <w:b/>
          <w:kern w:val="0"/>
          <w:sz w:val="23"/>
          <w:szCs w:val="23"/>
          <w:lang w:val="x-none" w:eastAsia="x-none"/>
          <w14:ligatures w14:val="none"/>
        </w:rPr>
        <w:tab/>
      </w:r>
      <w:r w:rsidRPr="00E367D6">
        <w:rPr>
          <w:rFonts w:ascii="Georgia" w:eastAsia="Times New Roman" w:hAnsi="Georgia" w:cs="Times New Roman"/>
          <w:b/>
          <w:kern w:val="0"/>
          <w:sz w:val="23"/>
          <w:szCs w:val="23"/>
          <w:lang w:eastAsia="x-none"/>
          <w14:ligatures w14:val="none"/>
        </w:rPr>
        <w:t>OLTHAUS V. NIESEN</w:t>
      </w:r>
    </w:p>
    <w:p w14:paraId="604BD816" w14:textId="77777777" w:rsidR="00E367D6" w:rsidRPr="00E367D6" w:rsidRDefault="00E367D6" w:rsidP="00E367D6">
      <w:pPr>
        <w:spacing w:after="0" w:line="240" w:lineRule="auto"/>
        <w:jc w:val="both"/>
        <w:rPr>
          <w:rFonts w:ascii="Georgia" w:eastAsia="Times New Roman" w:hAnsi="Georgia" w:cs="Times New Roman"/>
          <w:b/>
          <w:kern w:val="0"/>
          <w:sz w:val="23"/>
          <w:szCs w:val="23"/>
          <w14:ligatures w14:val="none"/>
        </w:rPr>
      </w:pPr>
      <w:r w:rsidRPr="00E367D6">
        <w:rPr>
          <w:rFonts w:ascii="Georgia" w:eastAsia="Times New Roman" w:hAnsi="Georgia" w:cs="Times New Roman"/>
          <w:b/>
          <w:kern w:val="0"/>
          <w:sz w:val="23"/>
          <w:szCs w:val="23"/>
          <w14:ligatures w14:val="none"/>
        </w:rPr>
        <w:t>12-27-23</w:t>
      </w:r>
    </w:p>
    <w:p w14:paraId="58AD9FC7"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APPEAL NO.:</w:t>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t>C-230142</w:t>
      </w:r>
    </w:p>
    <w:p w14:paraId="17D782B1"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p>
    <w:p w14:paraId="41BD7B45"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TRIAL NO.:</w:t>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4"/>
          <w14:ligatures w14:val="none"/>
        </w:rPr>
        <w:t>A-2002596</w:t>
      </w:r>
    </w:p>
    <w:p w14:paraId="1D2EDE09"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p>
    <w:p w14:paraId="20C90611" w14:textId="7E505B93" w:rsidR="00E367D6" w:rsidRPr="00E367D6" w:rsidRDefault="00E367D6" w:rsidP="00E367D6">
      <w:pPr>
        <w:spacing w:after="0" w:line="240" w:lineRule="auto"/>
        <w:ind w:left="2160" w:hanging="2160"/>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KEY WORDS:</w:t>
      </w:r>
      <w:r w:rsidRPr="00E367D6">
        <w:rPr>
          <w:rFonts w:ascii="Georgia" w:eastAsia="Times New Roman" w:hAnsi="Georgia" w:cs="Times New Roman"/>
          <w:kern w:val="0"/>
          <w:sz w:val="23"/>
          <w:szCs w:val="23"/>
          <w14:ligatures w14:val="none"/>
        </w:rPr>
        <w:tab/>
        <w:t xml:space="preserve">DEFAMATION — CONSTITUTIONAL LAW/CIVIL — ACTUAL MALICE </w:t>
      </w:r>
    </w:p>
    <w:p w14:paraId="5AFA6AE1"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SUMMARY:</w:t>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r>
    </w:p>
    <w:p w14:paraId="53E31620" w14:textId="77777777" w:rsidR="00E367D6" w:rsidRPr="00E367D6" w:rsidRDefault="00E367D6" w:rsidP="00E367D6">
      <w:pPr>
        <w:spacing w:after="0" w:line="240" w:lineRule="auto"/>
        <w:ind w:firstLine="2160"/>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The trial court did not err in dismissing plaintiff’s defamation claims where defendants’ statements were either true or matters of opinion and thus were protected speech under the Ohio Constitution, and where plaintiff failed to plead facts showing defendants acted with actual malice.</w:t>
      </w:r>
    </w:p>
    <w:p w14:paraId="49D4A20A" w14:textId="77777777" w:rsidR="00E367D6" w:rsidRPr="00E367D6" w:rsidRDefault="00E367D6" w:rsidP="00E367D6">
      <w:pPr>
        <w:spacing w:after="0" w:line="240" w:lineRule="auto"/>
        <w:ind w:firstLine="2160"/>
        <w:jc w:val="both"/>
        <w:rPr>
          <w:rFonts w:ascii="Georgia" w:eastAsia="Times New Roman" w:hAnsi="Georgia" w:cs="Times New Roman"/>
          <w:kern w:val="0"/>
          <w:sz w:val="23"/>
          <w:szCs w:val="23"/>
          <w14:ligatures w14:val="none"/>
        </w:rPr>
      </w:pPr>
    </w:p>
    <w:p w14:paraId="7D59405B" w14:textId="77777777" w:rsidR="00E367D6" w:rsidRPr="00E367D6" w:rsidRDefault="00E367D6" w:rsidP="00E367D6">
      <w:pPr>
        <w:spacing w:after="0" w:line="240" w:lineRule="auto"/>
        <w:ind w:firstLine="2160"/>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The trial court did not err in dismissing plaintiff’s false light invasion of privacy claims where defendants’ statements were not false statements of fact and where plaintiff failed to plead facts showing defendants acted with the required state of mind.</w:t>
      </w:r>
    </w:p>
    <w:p w14:paraId="6406E462"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p>
    <w:p w14:paraId="77747138"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t>The trial court did not err in dismissing plaintiff’s statutory claims for civil damages under R.C. 2307.60 where plaintiff could plead no facts showing that defendants violated an underlying criminal statute because their statements were not verifiable facts.</w:t>
      </w:r>
    </w:p>
    <w:p w14:paraId="49286795"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p>
    <w:p w14:paraId="2E1A8AE2"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r>
      <w:r w:rsidRPr="00E367D6">
        <w:rPr>
          <w:rFonts w:ascii="Georgia" w:eastAsia="Times New Roman" w:hAnsi="Georgia" w:cs="Times New Roman"/>
          <w:kern w:val="0"/>
          <w:sz w:val="23"/>
          <w:szCs w:val="23"/>
          <w14:ligatures w14:val="none"/>
        </w:rPr>
        <w:tab/>
        <w:t>The trial court did not err in dismissing plaintiff’s claims rather than granting leave to amend the complaint where plaintiff failed to move for leave to amend, tender an amended complaint, or explain to the trial court or on appeal how he would have cured any deficiencies, and where plaintiff failed to address the trial court’s conclusion that defendants’ speech was constitutionally protected, rendering amendment wholly futile.</w:t>
      </w:r>
    </w:p>
    <w:p w14:paraId="28F7FC26" w14:textId="77777777" w:rsidR="00E367D6" w:rsidRPr="00E367D6" w:rsidRDefault="00E367D6" w:rsidP="00E367D6">
      <w:pPr>
        <w:spacing w:after="0" w:line="240" w:lineRule="auto"/>
        <w:jc w:val="both"/>
        <w:rPr>
          <w:rFonts w:ascii="Georgia" w:eastAsia="Times New Roman" w:hAnsi="Georgia" w:cs="Times New Roman"/>
          <w:kern w:val="0"/>
          <w:sz w:val="23"/>
          <w:szCs w:val="23"/>
          <w14:ligatures w14:val="none"/>
        </w:rPr>
      </w:pPr>
    </w:p>
    <w:p w14:paraId="4C911253" w14:textId="77777777" w:rsidR="00E367D6" w:rsidRPr="00E367D6" w:rsidRDefault="00E367D6" w:rsidP="00E367D6">
      <w:pPr>
        <w:spacing w:after="0" w:line="240" w:lineRule="auto"/>
        <w:ind w:left="2160" w:hanging="2160"/>
        <w:jc w:val="both"/>
        <w:rPr>
          <w:rFonts w:eastAsia="Times New Roman" w:cs="Times New Roman"/>
          <w:caps/>
          <w:kern w:val="0"/>
          <w:szCs w:val="24"/>
          <w14:ligatures w14:val="none"/>
        </w:rPr>
      </w:pPr>
      <w:r w:rsidRPr="00E367D6">
        <w:rPr>
          <w:rFonts w:ascii="Georgia" w:eastAsia="Times New Roman" w:hAnsi="Georgia" w:cs="Times New Roman"/>
          <w:kern w:val="0"/>
          <w:sz w:val="23"/>
          <w:szCs w:val="23"/>
          <w14:ligatures w14:val="none"/>
        </w:rPr>
        <w:t>JUDGMENT:</w:t>
      </w:r>
      <w:r w:rsidRPr="00E367D6">
        <w:rPr>
          <w:rFonts w:ascii="Georgia" w:eastAsia="Times New Roman" w:hAnsi="Georgia" w:cs="Times New Roman"/>
          <w:kern w:val="0"/>
          <w:sz w:val="23"/>
          <w:szCs w:val="23"/>
          <w14:ligatures w14:val="none"/>
        </w:rPr>
        <w:tab/>
        <w:t xml:space="preserve">AFFIRMED </w:t>
      </w:r>
    </w:p>
    <w:p w14:paraId="7478CFCB" w14:textId="77777777" w:rsidR="00E367D6" w:rsidRPr="00E367D6" w:rsidRDefault="00E367D6" w:rsidP="00E367D6">
      <w:pPr>
        <w:spacing w:after="0" w:line="240" w:lineRule="auto"/>
        <w:ind w:left="2160" w:hanging="2160"/>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ab/>
      </w:r>
    </w:p>
    <w:p w14:paraId="59C89030" w14:textId="77777777" w:rsidR="00E367D6" w:rsidRPr="00E367D6" w:rsidRDefault="00E367D6" w:rsidP="00E367D6">
      <w:pPr>
        <w:spacing w:after="0" w:line="240" w:lineRule="auto"/>
        <w:ind w:left="2160" w:hanging="2160"/>
        <w:jc w:val="both"/>
        <w:rPr>
          <w:rFonts w:ascii="Georgia" w:eastAsia="Times New Roman" w:hAnsi="Georgia" w:cs="Times New Roman"/>
          <w:kern w:val="0"/>
          <w:sz w:val="23"/>
          <w:szCs w:val="23"/>
          <w14:ligatures w14:val="none"/>
        </w:rPr>
      </w:pPr>
      <w:r w:rsidRPr="00E367D6">
        <w:rPr>
          <w:rFonts w:ascii="Georgia" w:eastAsia="Times New Roman" w:hAnsi="Georgia" w:cs="Times New Roman"/>
          <w:kern w:val="0"/>
          <w:sz w:val="23"/>
          <w:szCs w:val="23"/>
          <w14:ligatures w14:val="none"/>
        </w:rPr>
        <w:t>JUDGES:</w:t>
      </w:r>
      <w:r w:rsidRPr="00E367D6">
        <w:rPr>
          <w:rFonts w:ascii="Georgia" w:eastAsia="Times New Roman" w:hAnsi="Georgia" w:cs="Times New Roman"/>
          <w:kern w:val="0"/>
          <w:sz w:val="23"/>
          <w:szCs w:val="23"/>
          <w14:ligatures w14:val="none"/>
        </w:rPr>
        <w:tab/>
        <w:t>OPINION by BERGERON, J.; CROUSE, P.J., and ZAYAS, J., CONCUR.</w:t>
      </w:r>
    </w:p>
    <w:p w14:paraId="2228FAB3" w14:textId="77777777" w:rsidR="0051473D" w:rsidRDefault="0051473D"/>
    <w:sectPr w:rsidR="0051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D6"/>
    <w:rsid w:val="0051473D"/>
    <w:rsid w:val="00916307"/>
    <w:rsid w:val="00E367D6"/>
    <w:rsid w:val="00E5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B59F"/>
  <w15:chartTrackingRefBased/>
  <w15:docId w15:val="{8292C7F1-2D49-4139-BDD9-ADB18024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CB"/>
    <w:rPr>
      <w:rFonts w:ascii="Times New Roman" w:hAnsi="Times New Roman"/>
      <w:sz w:val="24"/>
    </w:rPr>
  </w:style>
  <w:style w:type="paragraph" w:styleId="Heading1">
    <w:name w:val="heading 1"/>
    <w:basedOn w:val="Normal"/>
    <w:next w:val="Normal"/>
    <w:link w:val="Heading1Char"/>
    <w:uiPriority w:val="9"/>
    <w:qFormat/>
    <w:rsid w:val="00E367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7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7D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7D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367D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367D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367D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367D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367D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7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7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7D6"/>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E367D6"/>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E367D6"/>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E367D6"/>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E367D6"/>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E367D6"/>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E367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7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7D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7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7D6"/>
    <w:pPr>
      <w:spacing w:before="160"/>
      <w:jc w:val="center"/>
    </w:pPr>
    <w:rPr>
      <w:i/>
      <w:iCs/>
      <w:color w:val="404040" w:themeColor="text1" w:themeTint="BF"/>
    </w:rPr>
  </w:style>
  <w:style w:type="character" w:customStyle="1" w:styleId="QuoteChar">
    <w:name w:val="Quote Char"/>
    <w:basedOn w:val="DefaultParagraphFont"/>
    <w:link w:val="Quote"/>
    <w:uiPriority w:val="29"/>
    <w:rsid w:val="00E367D6"/>
    <w:rPr>
      <w:rFonts w:ascii="Times New Roman" w:hAnsi="Times New Roman"/>
      <w:i/>
      <w:iCs/>
      <w:color w:val="404040" w:themeColor="text1" w:themeTint="BF"/>
      <w:sz w:val="24"/>
    </w:rPr>
  </w:style>
  <w:style w:type="paragraph" w:styleId="ListParagraph">
    <w:name w:val="List Paragraph"/>
    <w:basedOn w:val="Normal"/>
    <w:uiPriority w:val="34"/>
    <w:qFormat/>
    <w:rsid w:val="00E367D6"/>
    <w:pPr>
      <w:ind w:left="720"/>
      <w:contextualSpacing/>
    </w:pPr>
  </w:style>
  <w:style w:type="character" w:styleId="IntenseEmphasis">
    <w:name w:val="Intense Emphasis"/>
    <w:basedOn w:val="DefaultParagraphFont"/>
    <w:uiPriority w:val="21"/>
    <w:qFormat/>
    <w:rsid w:val="00E367D6"/>
    <w:rPr>
      <w:i/>
      <w:iCs/>
      <w:color w:val="0F4761" w:themeColor="accent1" w:themeShade="BF"/>
    </w:rPr>
  </w:style>
  <w:style w:type="paragraph" w:styleId="IntenseQuote">
    <w:name w:val="Intense Quote"/>
    <w:basedOn w:val="Normal"/>
    <w:next w:val="Normal"/>
    <w:link w:val="IntenseQuoteChar"/>
    <w:uiPriority w:val="30"/>
    <w:qFormat/>
    <w:rsid w:val="00E367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7D6"/>
    <w:rPr>
      <w:rFonts w:ascii="Times New Roman" w:hAnsi="Times New Roman"/>
      <w:i/>
      <w:iCs/>
      <w:color w:val="0F4761" w:themeColor="accent1" w:themeShade="BF"/>
      <w:sz w:val="24"/>
    </w:rPr>
  </w:style>
  <w:style w:type="character" w:styleId="IntenseReference">
    <w:name w:val="Intense Reference"/>
    <w:basedOn w:val="DefaultParagraphFont"/>
    <w:uiPriority w:val="32"/>
    <w:qFormat/>
    <w:rsid w:val="00E367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Hamilton County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Freese</dc:creator>
  <cp:keywords/>
  <dc:description/>
  <cp:lastModifiedBy>Renata Freese</cp:lastModifiedBy>
  <cp:revision>1</cp:revision>
  <dcterms:created xsi:type="dcterms:W3CDTF">2023-12-27T14:25:00Z</dcterms:created>
  <dcterms:modified xsi:type="dcterms:W3CDTF">2023-12-27T14:26:00Z</dcterms:modified>
</cp:coreProperties>
</file>