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1118C165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DD72A0">
        <w:rPr>
          <w:rFonts w:ascii="Georgia" w:hAnsi="Georgia"/>
          <w:sz w:val="23"/>
          <w:szCs w:val="23"/>
        </w:rPr>
        <w:t>DUMAIS V. CINCINNATI CHILDREN’S HOSPITAL MEDICAL CENTER</w:t>
      </w:r>
    </w:p>
    <w:p w14:paraId="00F9DF16" w14:textId="7B4114E4" w:rsidR="008C0A9C" w:rsidRPr="004A3029" w:rsidRDefault="004A3029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03-20-24</w:t>
      </w:r>
    </w:p>
    <w:p w14:paraId="0CEFF103" w14:textId="34247337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DD72A0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DD72A0">
        <w:rPr>
          <w:rFonts w:ascii="Georgia" w:hAnsi="Georgia"/>
          <w:sz w:val="23"/>
          <w:szCs w:val="23"/>
        </w:rPr>
        <w:t>230190</w:t>
      </w:r>
    </w:p>
    <w:p w14:paraId="357AE15D" w14:textId="3B52805C" w:rsidR="00DD72A0" w:rsidRDefault="00DD72A0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C-230191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554BA8C8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D72A0">
        <w:rPr>
          <w:rFonts w:ascii="Georgia" w:hAnsi="Georgia"/>
          <w:sz w:val="23"/>
        </w:rPr>
        <w:t>A-2100924</w:t>
      </w:r>
    </w:p>
    <w:p w14:paraId="42F744E3" w14:textId="1451FFDF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D446AB">
        <w:rPr>
          <w:rFonts w:ascii="Georgia" w:hAnsi="Georgia"/>
          <w:snapToGrid w:val="0"/>
          <w:sz w:val="23"/>
          <w:szCs w:val="23"/>
        </w:rPr>
        <w:t>CIV.R. 12(B)(6)</w:t>
      </w:r>
      <w:r w:rsidR="00E06717">
        <w:rPr>
          <w:rFonts w:ascii="Georgia" w:hAnsi="Georgia"/>
          <w:snapToGrid w:val="0"/>
          <w:sz w:val="23"/>
          <w:szCs w:val="23"/>
        </w:rPr>
        <w:t xml:space="preserve">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D446AB">
        <w:rPr>
          <w:rFonts w:ascii="Georgia" w:hAnsi="Georgia"/>
          <w:sz w:val="23"/>
          <w:szCs w:val="23"/>
        </w:rPr>
        <w:t>R.C. 2305.113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CC79C1">
        <w:rPr>
          <w:rFonts w:ascii="Georgia" w:hAnsi="Georgia"/>
          <w:sz w:val="23"/>
          <w:szCs w:val="23"/>
        </w:rPr>
        <w:t xml:space="preserve">MEDICAL CLAIM </w:t>
      </w:r>
      <w:r w:rsidR="00CC79C1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CC79C1">
        <w:rPr>
          <w:rFonts w:ascii="Georgia" w:hAnsi="Georgia"/>
          <w:snapToGrid w:val="0"/>
          <w:sz w:val="23"/>
          <w:szCs w:val="23"/>
        </w:rPr>
        <w:t xml:space="preserve">STATUTE OF REPOSE </w:t>
      </w:r>
      <w:r w:rsidR="00CC79C1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CC79C1">
        <w:rPr>
          <w:rFonts w:ascii="Georgia" w:hAnsi="Georgia"/>
          <w:snapToGrid w:val="0"/>
          <w:sz w:val="23"/>
          <w:szCs w:val="23"/>
        </w:rPr>
        <w:t>R.C. 2305.15</w:t>
      </w:r>
      <w:r w:rsidR="00AE04AF">
        <w:rPr>
          <w:rFonts w:ascii="Georgia" w:hAnsi="Georgia"/>
          <w:snapToGrid w:val="0"/>
          <w:sz w:val="23"/>
          <w:szCs w:val="23"/>
        </w:rPr>
        <w:t xml:space="preserve"> </w:t>
      </w:r>
      <w:r w:rsidR="00CC79C1">
        <w:rPr>
          <w:rFonts w:ascii="Georgia" w:hAnsi="Georgia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2ECB672A" w14:textId="1524FFDD" w:rsidR="009308ED" w:rsidRPr="00C26862" w:rsidRDefault="00F02308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C26862">
        <w:rPr>
          <w:rFonts w:ascii="Georgia" w:hAnsi="Georgia"/>
          <w:sz w:val="23"/>
          <w:szCs w:val="23"/>
        </w:rPr>
        <w:t>The trial</w:t>
      </w:r>
      <w:r w:rsidR="00236705" w:rsidRPr="00C26862">
        <w:rPr>
          <w:rFonts w:ascii="Georgia" w:hAnsi="Georgia"/>
          <w:sz w:val="23"/>
          <w:szCs w:val="23"/>
        </w:rPr>
        <w:t xml:space="preserve"> court</w:t>
      </w:r>
      <w:r w:rsidRPr="00C26862">
        <w:rPr>
          <w:rFonts w:ascii="Georgia" w:hAnsi="Georgia"/>
          <w:sz w:val="23"/>
          <w:szCs w:val="23"/>
        </w:rPr>
        <w:t xml:space="preserve"> </w:t>
      </w:r>
      <w:r w:rsidR="00AE04AF" w:rsidRPr="00C26862">
        <w:rPr>
          <w:rFonts w:ascii="Georgia" w:hAnsi="Georgia"/>
          <w:sz w:val="23"/>
          <w:szCs w:val="23"/>
        </w:rPr>
        <w:t xml:space="preserve">did not err in dismissing </w:t>
      </w:r>
      <w:r w:rsidR="00964D9F" w:rsidRPr="00C26862">
        <w:rPr>
          <w:rFonts w:ascii="Georgia" w:hAnsi="Georgia"/>
          <w:sz w:val="23"/>
          <w:szCs w:val="23"/>
        </w:rPr>
        <w:t>plaintiff</w:t>
      </w:r>
      <w:r w:rsidR="009308ED" w:rsidRPr="00C26862">
        <w:rPr>
          <w:rFonts w:ascii="Georgia" w:hAnsi="Georgia"/>
          <w:sz w:val="23"/>
          <w:szCs w:val="23"/>
        </w:rPr>
        <w:t xml:space="preserve"> patient</w:t>
      </w:r>
      <w:r w:rsidR="00964D9F" w:rsidRPr="00C26862">
        <w:rPr>
          <w:rFonts w:ascii="Georgia" w:hAnsi="Georgia"/>
          <w:sz w:val="23"/>
          <w:szCs w:val="23"/>
        </w:rPr>
        <w:t xml:space="preserve">’s claim for vicarious liability against defendant hospital </w:t>
      </w:r>
      <w:r w:rsidR="009308ED" w:rsidRPr="00C26862">
        <w:rPr>
          <w:rFonts w:ascii="Georgia" w:hAnsi="Georgia"/>
          <w:sz w:val="23"/>
          <w:szCs w:val="23"/>
        </w:rPr>
        <w:t>based on the medical</w:t>
      </w:r>
      <w:r w:rsidR="00EE360B">
        <w:rPr>
          <w:rFonts w:ascii="Georgia" w:hAnsi="Georgia"/>
          <w:sz w:val="23"/>
          <w:szCs w:val="23"/>
        </w:rPr>
        <w:t>-</w:t>
      </w:r>
      <w:r w:rsidR="009308ED" w:rsidRPr="00C26862">
        <w:rPr>
          <w:rFonts w:ascii="Georgia" w:hAnsi="Georgia"/>
          <w:sz w:val="23"/>
          <w:szCs w:val="23"/>
        </w:rPr>
        <w:t>claim statute of repose where R.C. 2305.</w:t>
      </w:r>
      <w:r w:rsidR="003C20FF">
        <w:rPr>
          <w:rFonts w:ascii="Georgia" w:hAnsi="Georgia"/>
          <w:sz w:val="23"/>
          <w:szCs w:val="23"/>
        </w:rPr>
        <w:t>1</w:t>
      </w:r>
      <w:r w:rsidR="009308ED" w:rsidRPr="00C26862">
        <w:rPr>
          <w:rFonts w:ascii="Georgia" w:hAnsi="Georgia"/>
          <w:sz w:val="23"/>
          <w:szCs w:val="23"/>
        </w:rPr>
        <w:t>5 is only applicable to toll claims against the person who is alleged to be out of the state, absconded, or concealed</w:t>
      </w:r>
      <w:r w:rsidR="00D65109">
        <w:rPr>
          <w:rFonts w:ascii="Georgia" w:hAnsi="Georgia"/>
          <w:sz w:val="23"/>
          <w:szCs w:val="23"/>
        </w:rPr>
        <w:t>,</w:t>
      </w:r>
      <w:r w:rsidR="009308ED" w:rsidRPr="00C26862">
        <w:rPr>
          <w:rFonts w:ascii="Georgia" w:hAnsi="Georgia"/>
          <w:sz w:val="23"/>
          <w:szCs w:val="23"/>
        </w:rPr>
        <w:t xml:space="preserve"> and there is no claim that the hospital was ever out of the state, absconded, or concealed</w:t>
      </w:r>
      <w:r w:rsidR="00E06717" w:rsidRPr="00C26862">
        <w:rPr>
          <w:rFonts w:ascii="Georgia" w:hAnsi="Georgia"/>
          <w:sz w:val="23"/>
          <w:szCs w:val="23"/>
        </w:rPr>
        <w:t xml:space="preserve">.   </w:t>
      </w:r>
      <w:r w:rsidRPr="00C26862">
        <w:rPr>
          <w:rFonts w:ascii="Georgia" w:hAnsi="Georgia"/>
          <w:sz w:val="23"/>
          <w:szCs w:val="23"/>
        </w:rPr>
        <w:t xml:space="preserve"> </w:t>
      </w:r>
    </w:p>
    <w:p w14:paraId="059056D1" w14:textId="77777777" w:rsidR="009308ED" w:rsidRPr="00C26862" w:rsidRDefault="009308ED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93880E1" w14:textId="477874C3" w:rsidR="009308ED" w:rsidRPr="00C26862" w:rsidRDefault="009308ED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C26862">
        <w:rPr>
          <w:rFonts w:ascii="Georgia" w:hAnsi="Georgia"/>
          <w:sz w:val="23"/>
          <w:szCs w:val="23"/>
        </w:rPr>
        <w:t>The trial court did not err in dismissing plaintiff patient’s claim for negligent credentialing against defendant hospital based on the medical</w:t>
      </w:r>
      <w:r w:rsidR="00EE360B">
        <w:rPr>
          <w:rFonts w:ascii="Georgia" w:hAnsi="Georgia"/>
          <w:sz w:val="23"/>
          <w:szCs w:val="23"/>
        </w:rPr>
        <w:t>-</w:t>
      </w:r>
      <w:r w:rsidRPr="00C26862">
        <w:rPr>
          <w:rFonts w:ascii="Georgia" w:hAnsi="Georgia"/>
          <w:sz w:val="23"/>
          <w:szCs w:val="23"/>
        </w:rPr>
        <w:t xml:space="preserve">claim statute of repose where this court’s precedent establishes that the claim is a medical claim under R.C. 2305.113.  </w:t>
      </w:r>
    </w:p>
    <w:p w14:paraId="643D1CCE" w14:textId="77777777" w:rsidR="009308ED" w:rsidRPr="00C26862" w:rsidRDefault="009308ED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40C2B79B" w14:textId="073E61E1" w:rsidR="00F02308" w:rsidRPr="00964FCB" w:rsidRDefault="009308ED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C26862">
        <w:rPr>
          <w:rFonts w:ascii="Georgia" w:hAnsi="Georgia"/>
          <w:sz w:val="23"/>
          <w:szCs w:val="23"/>
        </w:rPr>
        <w:t>The trial court did not err in dismissing plaintiff patient’s claim</w:t>
      </w:r>
      <w:r w:rsidR="007C5F0B" w:rsidRPr="00C26862">
        <w:rPr>
          <w:rFonts w:ascii="Georgia" w:hAnsi="Georgia"/>
          <w:sz w:val="23"/>
          <w:szCs w:val="23"/>
        </w:rPr>
        <w:t>s for fraud in the concealment and constructive fraud</w:t>
      </w:r>
      <w:r w:rsidRPr="00C26862">
        <w:rPr>
          <w:rFonts w:ascii="Georgia" w:hAnsi="Georgia"/>
          <w:sz w:val="23"/>
          <w:szCs w:val="23"/>
        </w:rPr>
        <w:t xml:space="preserve"> against defendant doctors </w:t>
      </w:r>
      <w:r w:rsidR="00C26862" w:rsidRPr="00C26862">
        <w:rPr>
          <w:rFonts w:ascii="Georgia" w:hAnsi="Georgia"/>
          <w:sz w:val="23"/>
          <w:szCs w:val="23"/>
        </w:rPr>
        <w:t>based on the medical</w:t>
      </w:r>
      <w:r w:rsidR="00EE360B">
        <w:rPr>
          <w:rFonts w:ascii="Georgia" w:hAnsi="Georgia"/>
          <w:sz w:val="23"/>
          <w:szCs w:val="23"/>
        </w:rPr>
        <w:t>-</w:t>
      </w:r>
      <w:r w:rsidR="00C26862" w:rsidRPr="00C26862">
        <w:rPr>
          <w:rFonts w:ascii="Georgia" w:hAnsi="Georgia"/>
          <w:sz w:val="23"/>
          <w:szCs w:val="23"/>
        </w:rPr>
        <w:t xml:space="preserve">claim statute of repose </w:t>
      </w:r>
      <w:r w:rsidR="007C5F0B" w:rsidRPr="00C26862">
        <w:rPr>
          <w:rFonts w:ascii="Georgia" w:hAnsi="Georgia"/>
          <w:sz w:val="23"/>
          <w:szCs w:val="23"/>
        </w:rPr>
        <w:t>where this court’s precedent</w:t>
      </w:r>
      <w:r w:rsidR="0080282A" w:rsidRPr="00C26862">
        <w:rPr>
          <w:rFonts w:ascii="Georgia" w:hAnsi="Georgia"/>
          <w:sz w:val="23"/>
          <w:szCs w:val="23"/>
        </w:rPr>
        <w:t xml:space="preserve"> establishes that the claims are medical claim</w:t>
      </w:r>
      <w:r w:rsidR="00C26862">
        <w:rPr>
          <w:rFonts w:ascii="Georgia" w:hAnsi="Georgia"/>
          <w:sz w:val="23"/>
          <w:szCs w:val="23"/>
        </w:rPr>
        <w:t>s</w:t>
      </w:r>
      <w:r w:rsidR="0080282A" w:rsidRPr="00C26862">
        <w:rPr>
          <w:rFonts w:ascii="Georgia" w:hAnsi="Georgia"/>
          <w:sz w:val="23"/>
          <w:szCs w:val="23"/>
        </w:rPr>
        <w:t xml:space="preserve"> under R.C. 2305.113 and the last culpable act </w:t>
      </w:r>
      <w:r w:rsidR="00C26862" w:rsidRPr="00C26862">
        <w:rPr>
          <w:rFonts w:ascii="Georgia" w:hAnsi="Georgia"/>
          <w:sz w:val="23"/>
          <w:szCs w:val="23"/>
        </w:rPr>
        <w:t>regarding the</w:t>
      </w:r>
      <w:r w:rsidR="00750B1C">
        <w:rPr>
          <w:rFonts w:ascii="Georgia" w:hAnsi="Georgia"/>
          <w:sz w:val="23"/>
          <w:szCs w:val="23"/>
        </w:rPr>
        <w:t>se</w:t>
      </w:r>
      <w:r w:rsidR="00C26862" w:rsidRPr="00C26862">
        <w:rPr>
          <w:rFonts w:ascii="Georgia" w:hAnsi="Georgia"/>
          <w:sz w:val="23"/>
          <w:szCs w:val="23"/>
        </w:rPr>
        <w:t xml:space="preserve"> claims was the date of the underlying surgery.</w:t>
      </w:r>
      <w:r w:rsidR="00C26862">
        <w:rPr>
          <w:rFonts w:ascii="Georgia" w:hAnsi="Georgia"/>
          <w:sz w:val="23"/>
          <w:szCs w:val="23"/>
        </w:rPr>
        <w:t xml:space="preserve">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00139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52156995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 w:rsidRPr="00C26862">
        <w:rPr>
          <w:rFonts w:ascii="Georgia" w:hAnsi="Georgia"/>
          <w:sz w:val="23"/>
          <w:szCs w:val="23"/>
        </w:rPr>
        <w:t xml:space="preserve">OPINION by </w:t>
      </w:r>
      <w:r w:rsidR="00311F24" w:rsidRPr="00C26862">
        <w:rPr>
          <w:rFonts w:ascii="Georgia" w:hAnsi="Georgia"/>
          <w:sz w:val="23"/>
          <w:szCs w:val="23"/>
        </w:rPr>
        <w:t>ZAYAS</w:t>
      </w:r>
      <w:r w:rsidRPr="00C26862">
        <w:rPr>
          <w:rFonts w:ascii="Georgia" w:hAnsi="Georgia"/>
          <w:sz w:val="23"/>
          <w:szCs w:val="23"/>
        </w:rPr>
        <w:t xml:space="preserve">, </w:t>
      </w:r>
      <w:r w:rsidR="00E06717" w:rsidRPr="00C26862">
        <w:rPr>
          <w:rFonts w:ascii="Georgia" w:hAnsi="Georgia"/>
          <w:sz w:val="23"/>
          <w:szCs w:val="23"/>
        </w:rPr>
        <w:t>P.</w:t>
      </w:r>
      <w:r w:rsidRPr="00C26862">
        <w:rPr>
          <w:rFonts w:ascii="Georgia" w:hAnsi="Georgia"/>
          <w:sz w:val="23"/>
          <w:szCs w:val="23"/>
        </w:rPr>
        <w:t xml:space="preserve">J.; </w:t>
      </w:r>
      <w:r w:rsidR="00C26862" w:rsidRPr="00C26862">
        <w:rPr>
          <w:rFonts w:ascii="Georgia" w:hAnsi="Georgia"/>
          <w:sz w:val="23"/>
          <w:szCs w:val="23"/>
        </w:rPr>
        <w:t>CROUSE</w:t>
      </w:r>
      <w:r w:rsidR="008C0A9C" w:rsidRPr="00C26862">
        <w:rPr>
          <w:rFonts w:ascii="Georgia" w:hAnsi="Georgia"/>
          <w:sz w:val="23"/>
          <w:szCs w:val="23"/>
        </w:rPr>
        <w:t xml:space="preserve"> </w:t>
      </w:r>
      <w:r w:rsidRPr="00C26862">
        <w:rPr>
          <w:rFonts w:ascii="Georgia" w:hAnsi="Georgia"/>
          <w:sz w:val="23"/>
          <w:szCs w:val="23"/>
        </w:rPr>
        <w:t xml:space="preserve">and </w:t>
      </w:r>
      <w:r w:rsidR="00E06717" w:rsidRPr="00C26862">
        <w:rPr>
          <w:rFonts w:ascii="Georgia" w:hAnsi="Georgia"/>
          <w:sz w:val="23"/>
          <w:szCs w:val="23"/>
        </w:rPr>
        <w:t>KINSLEY</w:t>
      </w:r>
      <w:r w:rsidRPr="00C26862">
        <w:rPr>
          <w:rFonts w:ascii="Georgia" w:hAnsi="Georgia"/>
          <w:sz w:val="23"/>
          <w:szCs w:val="23"/>
        </w:rPr>
        <w:t xml:space="preserve">, </w:t>
      </w:r>
      <w:r w:rsidR="008C0A9C" w:rsidRPr="00C26862">
        <w:rPr>
          <w:rFonts w:ascii="Georgia" w:hAnsi="Georgia"/>
          <w:sz w:val="23"/>
          <w:szCs w:val="23"/>
        </w:rPr>
        <w:t>J</w:t>
      </w:r>
      <w:r w:rsidR="00E06717" w:rsidRPr="00C26862">
        <w:rPr>
          <w:rFonts w:ascii="Georgia" w:hAnsi="Georgia"/>
          <w:sz w:val="23"/>
          <w:szCs w:val="23"/>
        </w:rPr>
        <w:t>J</w:t>
      </w:r>
      <w:r w:rsidRPr="00C26862"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205B4"/>
    <w:rsid w:val="002216D1"/>
    <w:rsid w:val="00236705"/>
    <w:rsid w:val="00272B15"/>
    <w:rsid w:val="00310A68"/>
    <w:rsid w:val="00311F24"/>
    <w:rsid w:val="00320682"/>
    <w:rsid w:val="00331081"/>
    <w:rsid w:val="00350F9B"/>
    <w:rsid w:val="00360AFD"/>
    <w:rsid w:val="003A0492"/>
    <w:rsid w:val="003C13A0"/>
    <w:rsid w:val="003C20FF"/>
    <w:rsid w:val="003E6A45"/>
    <w:rsid w:val="0041227F"/>
    <w:rsid w:val="00442179"/>
    <w:rsid w:val="004A3029"/>
    <w:rsid w:val="00553D89"/>
    <w:rsid w:val="005C515C"/>
    <w:rsid w:val="005F5AE3"/>
    <w:rsid w:val="005F5EEF"/>
    <w:rsid w:val="00686A78"/>
    <w:rsid w:val="006E0BC1"/>
    <w:rsid w:val="006E1786"/>
    <w:rsid w:val="00750B1C"/>
    <w:rsid w:val="007C35CD"/>
    <w:rsid w:val="007C5F0B"/>
    <w:rsid w:val="007E19B0"/>
    <w:rsid w:val="007F5726"/>
    <w:rsid w:val="0080282A"/>
    <w:rsid w:val="008308F4"/>
    <w:rsid w:val="008431D1"/>
    <w:rsid w:val="00883925"/>
    <w:rsid w:val="008C0A9C"/>
    <w:rsid w:val="008D5CEB"/>
    <w:rsid w:val="008D6C6C"/>
    <w:rsid w:val="00903661"/>
    <w:rsid w:val="009308ED"/>
    <w:rsid w:val="00964D9F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AE04AF"/>
    <w:rsid w:val="00BA669E"/>
    <w:rsid w:val="00BC1CF2"/>
    <w:rsid w:val="00BC3ABD"/>
    <w:rsid w:val="00BF74CB"/>
    <w:rsid w:val="00C26862"/>
    <w:rsid w:val="00C27B36"/>
    <w:rsid w:val="00C31E56"/>
    <w:rsid w:val="00C40BCB"/>
    <w:rsid w:val="00C918EF"/>
    <w:rsid w:val="00CC79C1"/>
    <w:rsid w:val="00CD6B9D"/>
    <w:rsid w:val="00D137AC"/>
    <w:rsid w:val="00D446AB"/>
    <w:rsid w:val="00D65109"/>
    <w:rsid w:val="00D71ECD"/>
    <w:rsid w:val="00D919C0"/>
    <w:rsid w:val="00D92134"/>
    <w:rsid w:val="00DD51AF"/>
    <w:rsid w:val="00DD72A0"/>
    <w:rsid w:val="00E06717"/>
    <w:rsid w:val="00E76A83"/>
    <w:rsid w:val="00EE360B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C-230190, C-230191</dc:title>
  <dc:subject/>
  <dc:creator>.</dc:creator>
  <cp:keywords/>
  <cp:lastModifiedBy>Renata Freese</cp:lastModifiedBy>
  <cp:revision>2</cp:revision>
  <dcterms:created xsi:type="dcterms:W3CDTF">2024-03-18T18:39:00Z</dcterms:created>
  <dcterms:modified xsi:type="dcterms:W3CDTF">2024-03-18T18:39:00Z</dcterms:modified>
</cp:coreProperties>
</file>