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24657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18B12F6E" w14:textId="2CDD75E1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276D2B">
        <w:rPr>
          <w:rFonts w:ascii="Georgia" w:hAnsi="Georgia"/>
          <w:sz w:val="23"/>
          <w:szCs w:val="23"/>
          <w:lang w:val="en-US"/>
        </w:rPr>
        <w:t>OLTHAUS</w:t>
      </w:r>
      <w:r w:rsidR="008D5426">
        <w:rPr>
          <w:rFonts w:ascii="Georgia" w:hAnsi="Georgia"/>
          <w:sz w:val="23"/>
          <w:szCs w:val="23"/>
          <w:lang w:val="en-US"/>
        </w:rPr>
        <w:t xml:space="preserve"> V. </w:t>
      </w:r>
      <w:r w:rsidR="00276D2B">
        <w:rPr>
          <w:rFonts w:ascii="Georgia" w:hAnsi="Georgia"/>
          <w:sz w:val="23"/>
          <w:szCs w:val="23"/>
          <w:lang w:val="en-US"/>
        </w:rPr>
        <w:t>NIESEN</w:t>
      </w:r>
    </w:p>
    <w:p w14:paraId="798DFD32" w14:textId="03E3E3C3" w:rsidR="00276D2B" w:rsidRDefault="00DB6D8E" w:rsidP="008D5426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05-22-24</w:t>
      </w:r>
    </w:p>
    <w:p w14:paraId="71DED00B" w14:textId="3E7155FD" w:rsidR="001922FD" w:rsidRDefault="0024101A" w:rsidP="008D5426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</w:t>
      </w:r>
      <w:r w:rsidR="001922FD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.:</w:t>
      </w:r>
      <w:r w:rsidR="003A08D1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C-</w:t>
      </w:r>
      <w:r w:rsidR="001157FC">
        <w:rPr>
          <w:rFonts w:ascii="Georgia" w:hAnsi="Georgia"/>
          <w:sz w:val="23"/>
          <w:szCs w:val="23"/>
        </w:rPr>
        <w:t>230</w:t>
      </w:r>
      <w:r w:rsidR="00276D2B">
        <w:rPr>
          <w:rFonts w:ascii="Georgia" w:hAnsi="Georgia"/>
          <w:sz w:val="23"/>
          <w:szCs w:val="23"/>
        </w:rPr>
        <w:t>513</w:t>
      </w:r>
    </w:p>
    <w:p w14:paraId="0F5CDF06" w14:textId="13225ABB" w:rsidR="0024101A" w:rsidRDefault="00D12B85" w:rsidP="001922FD">
      <w:pPr>
        <w:ind w:left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C-230</w:t>
      </w:r>
      <w:r w:rsidR="00276D2B">
        <w:rPr>
          <w:rFonts w:ascii="Georgia" w:hAnsi="Georgia"/>
          <w:sz w:val="23"/>
          <w:szCs w:val="23"/>
        </w:rPr>
        <w:t>515</w:t>
      </w:r>
    </w:p>
    <w:p w14:paraId="78E4A6C5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40CE2CE5" w14:textId="2803FDF6" w:rsidR="001922FD" w:rsidRDefault="0024101A" w:rsidP="0024101A">
      <w:pPr>
        <w:jc w:val="both"/>
        <w:rPr>
          <w:rFonts w:ascii="Georgia" w:hAnsi="Georgia"/>
          <w:sz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276D2B">
        <w:rPr>
          <w:rFonts w:ascii="Georgia" w:hAnsi="Georgia"/>
          <w:sz w:val="23"/>
        </w:rPr>
        <w:t>A-2002596</w:t>
      </w:r>
    </w:p>
    <w:p w14:paraId="59756C18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41AA86E" w14:textId="18440D03" w:rsidR="0024101A" w:rsidRDefault="00D506E0" w:rsidP="00D26921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276D2B">
        <w:rPr>
          <w:rFonts w:ascii="Georgia" w:hAnsi="Georgia"/>
          <w:sz w:val="23"/>
          <w:szCs w:val="23"/>
        </w:rPr>
        <w:t xml:space="preserve">SANCTIONS </w:t>
      </w:r>
      <w:r w:rsidR="00276D2B">
        <w:rPr>
          <w:rFonts w:ascii="Georgia" w:hAnsi="Georgia"/>
          <w:snapToGrid w:val="0"/>
          <w:sz w:val="23"/>
          <w:szCs w:val="23"/>
        </w:rPr>
        <w:t xml:space="preserve">— </w:t>
      </w:r>
      <w:r w:rsidR="009F064D">
        <w:rPr>
          <w:rFonts w:ascii="Georgia" w:hAnsi="Georgia"/>
          <w:snapToGrid w:val="0"/>
          <w:sz w:val="23"/>
          <w:szCs w:val="23"/>
        </w:rPr>
        <w:t>EXCUSABLE NEGLECT</w:t>
      </w:r>
      <w:r w:rsidR="009F064D">
        <w:rPr>
          <w:rFonts w:ascii="Georgia" w:hAnsi="Georgia"/>
          <w:sz w:val="23"/>
          <w:szCs w:val="23"/>
        </w:rPr>
        <w:t xml:space="preserve"> </w:t>
      </w:r>
      <w:r w:rsidR="009F064D">
        <w:rPr>
          <w:rFonts w:ascii="Georgia" w:hAnsi="Georgia"/>
          <w:snapToGrid w:val="0"/>
          <w:sz w:val="23"/>
          <w:szCs w:val="23"/>
        </w:rPr>
        <w:t xml:space="preserve">— </w:t>
      </w:r>
      <w:r w:rsidR="00276D2B">
        <w:rPr>
          <w:rFonts w:ascii="Georgia" w:hAnsi="Georgia"/>
          <w:sz w:val="23"/>
          <w:szCs w:val="23"/>
        </w:rPr>
        <w:t xml:space="preserve">FRIVOLOUS CONDUCT </w:t>
      </w:r>
      <w:r w:rsidR="00276D2B">
        <w:rPr>
          <w:rFonts w:ascii="Georgia" w:hAnsi="Georgia"/>
          <w:snapToGrid w:val="0"/>
          <w:sz w:val="23"/>
          <w:szCs w:val="23"/>
        </w:rPr>
        <w:t xml:space="preserve">— </w:t>
      </w:r>
      <w:r w:rsidR="00276D2B">
        <w:rPr>
          <w:rFonts w:ascii="Georgia" w:hAnsi="Georgia"/>
          <w:sz w:val="23"/>
          <w:szCs w:val="23"/>
        </w:rPr>
        <w:t xml:space="preserve">R.C. 2323.51 </w:t>
      </w:r>
      <w:r w:rsidR="00276D2B">
        <w:rPr>
          <w:rFonts w:ascii="Georgia" w:hAnsi="Georgia"/>
          <w:snapToGrid w:val="0"/>
          <w:sz w:val="23"/>
          <w:szCs w:val="23"/>
        </w:rPr>
        <w:t xml:space="preserve">— </w:t>
      </w:r>
      <w:r w:rsidR="009F064D">
        <w:rPr>
          <w:rFonts w:ascii="Georgia" w:hAnsi="Georgia"/>
          <w:snapToGrid w:val="0"/>
          <w:sz w:val="23"/>
          <w:szCs w:val="23"/>
        </w:rPr>
        <w:t>EVIDENTIARY HEARING</w:t>
      </w:r>
      <w:r w:rsidR="009F064D">
        <w:rPr>
          <w:rFonts w:ascii="Georgia" w:hAnsi="Georgia"/>
          <w:sz w:val="23"/>
          <w:szCs w:val="23"/>
        </w:rPr>
        <w:t xml:space="preserve"> </w:t>
      </w:r>
      <w:r w:rsidR="009F064D">
        <w:rPr>
          <w:rFonts w:ascii="Georgia" w:hAnsi="Georgia"/>
          <w:snapToGrid w:val="0"/>
          <w:sz w:val="23"/>
          <w:szCs w:val="23"/>
        </w:rPr>
        <w:t>— ABUSE OF DISCRETION</w:t>
      </w:r>
      <w:r w:rsidR="009F064D">
        <w:rPr>
          <w:rFonts w:ascii="Georgia" w:hAnsi="Georgia"/>
          <w:sz w:val="23"/>
          <w:szCs w:val="23"/>
        </w:rPr>
        <w:t xml:space="preserve"> </w:t>
      </w:r>
      <w:r w:rsidR="009F064D">
        <w:rPr>
          <w:rFonts w:ascii="Georgia" w:hAnsi="Georgia"/>
          <w:snapToGrid w:val="0"/>
          <w:sz w:val="23"/>
          <w:szCs w:val="23"/>
        </w:rPr>
        <w:t>— RELEVANCE</w:t>
      </w:r>
    </w:p>
    <w:p w14:paraId="6DBC5EFF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061334FF" w14:textId="1BE00B0B" w:rsidR="006451E7" w:rsidRDefault="0024101A" w:rsidP="00D26921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4F3CD27C" w14:textId="0EE3ADBC" w:rsidR="00301AE9" w:rsidRDefault="00301AE9" w:rsidP="00D26921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Where </w:t>
      </w:r>
      <w:r w:rsidR="00517847">
        <w:rPr>
          <w:rFonts w:ascii="Georgia" w:hAnsi="Georgia"/>
          <w:sz w:val="23"/>
          <w:szCs w:val="23"/>
        </w:rPr>
        <w:t>plaintiff</w:t>
      </w:r>
      <w:r>
        <w:rPr>
          <w:rFonts w:ascii="Georgia" w:hAnsi="Georgia"/>
          <w:sz w:val="23"/>
          <w:szCs w:val="23"/>
        </w:rPr>
        <w:t xml:space="preserve"> filed a motion requesting leave to file a response out of time the day after </w:t>
      </w:r>
      <w:r w:rsidR="00517847">
        <w:rPr>
          <w:rFonts w:ascii="Georgia" w:hAnsi="Georgia"/>
          <w:sz w:val="23"/>
          <w:szCs w:val="23"/>
        </w:rPr>
        <w:t>defendants</w:t>
      </w:r>
      <w:r>
        <w:rPr>
          <w:rFonts w:ascii="Georgia" w:hAnsi="Georgia"/>
          <w:sz w:val="23"/>
          <w:szCs w:val="23"/>
        </w:rPr>
        <w:t xml:space="preserve"> filed a motion to grant</w:t>
      </w:r>
      <w:r w:rsidR="00517847">
        <w:rPr>
          <w:rFonts w:ascii="Georgia" w:hAnsi="Georgia"/>
          <w:sz w:val="23"/>
          <w:szCs w:val="23"/>
        </w:rPr>
        <w:t xml:space="preserve"> their motion for</w:t>
      </w:r>
      <w:r>
        <w:rPr>
          <w:rFonts w:ascii="Georgia" w:hAnsi="Georgia"/>
          <w:sz w:val="23"/>
          <w:szCs w:val="23"/>
        </w:rPr>
        <w:t xml:space="preserve"> sanctions as unopposed</w:t>
      </w:r>
      <w:r w:rsidR="00517847">
        <w:rPr>
          <w:rFonts w:ascii="Georgia" w:hAnsi="Georgia"/>
          <w:sz w:val="23"/>
          <w:szCs w:val="23"/>
        </w:rPr>
        <w:t>,</w:t>
      </w:r>
      <w:r>
        <w:rPr>
          <w:rFonts w:ascii="Georgia" w:hAnsi="Georgia"/>
          <w:sz w:val="23"/>
          <w:szCs w:val="23"/>
        </w:rPr>
        <w:t xml:space="preserve"> and </w:t>
      </w:r>
      <w:r w:rsidR="00517847">
        <w:rPr>
          <w:rFonts w:ascii="Georgia" w:hAnsi="Georgia"/>
          <w:sz w:val="23"/>
          <w:szCs w:val="23"/>
        </w:rPr>
        <w:t xml:space="preserve">where plaintiff’s </w:t>
      </w:r>
      <w:r>
        <w:rPr>
          <w:rFonts w:ascii="Georgia" w:hAnsi="Georgia"/>
          <w:sz w:val="23"/>
          <w:szCs w:val="23"/>
        </w:rPr>
        <w:t xml:space="preserve">counsel was out of town and encountered confusion regarding submitting the response, the trial court did not abuse its discretion by granting </w:t>
      </w:r>
      <w:r w:rsidR="00517847">
        <w:rPr>
          <w:rFonts w:ascii="Georgia" w:hAnsi="Georgia"/>
          <w:sz w:val="23"/>
          <w:szCs w:val="23"/>
        </w:rPr>
        <w:t>plaintiff</w:t>
      </w:r>
      <w:r>
        <w:rPr>
          <w:rFonts w:ascii="Georgia" w:hAnsi="Georgia"/>
          <w:sz w:val="23"/>
          <w:szCs w:val="23"/>
        </w:rPr>
        <w:t xml:space="preserve"> leave to file the answer out of time.</w:t>
      </w:r>
    </w:p>
    <w:p w14:paraId="69BEC4E5" w14:textId="77777777" w:rsidR="00301AE9" w:rsidRDefault="00301AE9" w:rsidP="00D26921">
      <w:pPr>
        <w:jc w:val="both"/>
        <w:rPr>
          <w:rFonts w:ascii="Georgia" w:hAnsi="Georgia"/>
          <w:sz w:val="23"/>
          <w:szCs w:val="23"/>
        </w:rPr>
      </w:pPr>
    </w:p>
    <w:p w14:paraId="721FCF7D" w14:textId="061A4F7B" w:rsidR="00591243" w:rsidRDefault="00301AE9" w:rsidP="00D26921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F76999">
        <w:rPr>
          <w:rFonts w:ascii="Georgia" w:hAnsi="Georgia"/>
          <w:sz w:val="23"/>
          <w:szCs w:val="23"/>
        </w:rPr>
        <w:t xml:space="preserve">Where </w:t>
      </w:r>
      <w:r w:rsidR="00517847">
        <w:rPr>
          <w:rFonts w:ascii="Georgia" w:hAnsi="Georgia"/>
          <w:sz w:val="23"/>
          <w:szCs w:val="23"/>
        </w:rPr>
        <w:t>plaintiff and his counsel</w:t>
      </w:r>
      <w:r w:rsidR="00F76999">
        <w:rPr>
          <w:rFonts w:ascii="Georgia" w:hAnsi="Georgia"/>
          <w:sz w:val="23"/>
          <w:szCs w:val="23"/>
        </w:rPr>
        <w:t xml:space="preserve"> did not address binding precedent or argue for a modification of or </w:t>
      </w:r>
      <w:r w:rsidR="00591243">
        <w:rPr>
          <w:rFonts w:ascii="Georgia" w:hAnsi="Georgia"/>
          <w:sz w:val="23"/>
          <w:szCs w:val="23"/>
        </w:rPr>
        <w:t>exception to</w:t>
      </w:r>
      <w:r w:rsidR="00F76999">
        <w:rPr>
          <w:rFonts w:ascii="Georgia" w:hAnsi="Georgia"/>
          <w:sz w:val="23"/>
          <w:szCs w:val="23"/>
        </w:rPr>
        <w:t xml:space="preserve"> such precedent throughout litigation on both the merits and </w:t>
      </w:r>
      <w:r w:rsidR="00BA5615">
        <w:rPr>
          <w:rFonts w:ascii="Georgia" w:hAnsi="Georgia"/>
          <w:sz w:val="23"/>
          <w:szCs w:val="23"/>
        </w:rPr>
        <w:t>defendants’</w:t>
      </w:r>
      <w:r w:rsidR="00F76999">
        <w:rPr>
          <w:rFonts w:ascii="Georgia" w:hAnsi="Georgia"/>
          <w:sz w:val="23"/>
          <w:szCs w:val="23"/>
        </w:rPr>
        <w:t xml:space="preserve"> joint motion for sanctions, the trial court erred in declining to award sanctions </w:t>
      </w:r>
      <w:r w:rsidR="00F30DEF">
        <w:rPr>
          <w:rFonts w:ascii="Georgia" w:hAnsi="Georgia"/>
          <w:sz w:val="23"/>
          <w:szCs w:val="23"/>
        </w:rPr>
        <w:t xml:space="preserve">pursuant to R.C. 2323.51(A)(2)(a)(ii) </w:t>
      </w:r>
      <w:r w:rsidR="00F76999">
        <w:rPr>
          <w:rFonts w:ascii="Georgia" w:hAnsi="Georgia"/>
          <w:sz w:val="23"/>
          <w:szCs w:val="23"/>
        </w:rPr>
        <w:t xml:space="preserve">because no reasonable attorney would have proceeded on a legal theory unwarranted in existing law without advocating for some modification of </w:t>
      </w:r>
      <w:r w:rsidR="00591243">
        <w:rPr>
          <w:rFonts w:ascii="Georgia" w:hAnsi="Georgia"/>
          <w:sz w:val="23"/>
          <w:szCs w:val="23"/>
        </w:rPr>
        <w:t xml:space="preserve">or exception to </w:t>
      </w:r>
      <w:r w:rsidR="00F76999">
        <w:rPr>
          <w:rFonts w:ascii="Georgia" w:hAnsi="Georgia"/>
          <w:sz w:val="23"/>
          <w:szCs w:val="23"/>
        </w:rPr>
        <w:t>the doctrine.</w:t>
      </w:r>
    </w:p>
    <w:p w14:paraId="33A9E9D0" w14:textId="77777777" w:rsidR="00591243" w:rsidRDefault="00591243" w:rsidP="00D26921">
      <w:pPr>
        <w:jc w:val="both"/>
        <w:rPr>
          <w:rFonts w:ascii="Georgia" w:hAnsi="Georgia"/>
          <w:sz w:val="23"/>
          <w:szCs w:val="23"/>
        </w:rPr>
      </w:pPr>
    </w:p>
    <w:p w14:paraId="7E652B16" w14:textId="4870016E" w:rsidR="00301AE9" w:rsidRDefault="00591243" w:rsidP="00D26921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Where the record contains undisputed evidence of the social media posts and conduct at issue, the trial court did not err in declining to award sanctions</w:t>
      </w:r>
      <w:r w:rsidR="00F30DEF">
        <w:rPr>
          <w:rFonts w:ascii="Georgia" w:hAnsi="Georgia"/>
          <w:sz w:val="23"/>
          <w:szCs w:val="23"/>
        </w:rPr>
        <w:t xml:space="preserve"> under R.C. 2323.51(A)(2)(a)(iii)</w:t>
      </w:r>
      <w:r>
        <w:rPr>
          <w:rFonts w:ascii="Georgia" w:hAnsi="Georgia"/>
          <w:sz w:val="23"/>
          <w:szCs w:val="23"/>
        </w:rPr>
        <w:t xml:space="preserve"> because </w:t>
      </w:r>
      <w:r w:rsidR="00517847">
        <w:rPr>
          <w:rFonts w:ascii="Georgia" w:hAnsi="Georgia"/>
          <w:sz w:val="23"/>
          <w:szCs w:val="23"/>
        </w:rPr>
        <w:t>plaintiff</w:t>
      </w:r>
      <w:r>
        <w:rPr>
          <w:rFonts w:ascii="Georgia" w:hAnsi="Georgia"/>
          <w:sz w:val="23"/>
          <w:szCs w:val="23"/>
        </w:rPr>
        <w:t xml:space="preserve"> did not present factual allegations that lacked evidentiary support.</w:t>
      </w:r>
      <w:r w:rsidR="007B6A49">
        <w:rPr>
          <w:rFonts w:ascii="Georgia" w:hAnsi="Georgia"/>
          <w:sz w:val="23"/>
          <w:szCs w:val="23"/>
        </w:rPr>
        <w:tab/>
      </w:r>
    </w:p>
    <w:p w14:paraId="42929C3A" w14:textId="77777777" w:rsidR="00591243" w:rsidRDefault="00591243" w:rsidP="00D26921">
      <w:pPr>
        <w:jc w:val="both"/>
        <w:rPr>
          <w:rFonts w:ascii="Georgia" w:hAnsi="Georgia"/>
          <w:sz w:val="23"/>
          <w:szCs w:val="23"/>
        </w:rPr>
      </w:pPr>
    </w:p>
    <w:p w14:paraId="0993C828" w14:textId="6BAD1280" w:rsidR="00591243" w:rsidRDefault="00591243" w:rsidP="00D26921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Where </w:t>
      </w:r>
      <w:r w:rsidR="00517847">
        <w:rPr>
          <w:rFonts w:ascii="Georgia" w:hAnsi="Georgia"/>
          <w:sz w:val="23"/>
          <w:szCs w:val="23"/>
        </w:rPr>
        <w:t>defendant</w:t>
      </w:r>
      <w:r>
        <w:rPr>
          <w:rFonts w:ascii="Georgia" w:hAnsi="Georgia"/>
          <w:sz w:val="23"/>
          <w:szCs w:val="23"/>
        </w:rPr>
        <w:t xml:space="preserve"> failed to raise a claim for sanctions pursuant to R.C. 2323.51(A)(2)(a)(</w:t>
      </w:r>
      <w:proofErr w:type="spellStart"/>
      <w:r>
        <w:rPr>
          <w:rFonts w:ascii="Georgia" w:hAnsi="Georgia"/>
          <w:sz w:val="23"/>
          <w:szCs w:val="23"/>
        </w:rPr>
        <w:t>i</w:t>
      </w:r>
      <w:proofErr w:type="spellEnd"/>
      <w:r>
        <w:rPr>
          <w:rFonts w:ascii="Georgia" w:hAnsi="Georgia"/>
          <w:sz w:val="23"/>
          <w:szCs w:val="23"/>
        </w:rPr>
        <w:t>) below, he waived the right to raise the argument on appeal.</w:t>
      </w:r>
    </w:p>
    <w:p w14:paraId="34CE33C8" w14:textId="77777777" w:rsidR="005704B5" w:rsidRDefault="005704B5" w:rsidP="00D26921">
      <w:pPr>
        <w:jc w:val="both"/>
        <w:rPr>
          <w:rFonts w:ascii="Georgia" w:hAnsi="Georgia"/>
          <w:sz w:val="23"/>
          <w:szCs w:val="23"/>
        </w:rPr>
      </w:pPr>
    </w:p>
    <w:p w14:paraId="0F901B0B" w14:textId="5F541AD1" w:rsidR="005704B5" w:rsidRDefault="005704B5" w:rsidP="00D26921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Where </w:t>
      </w:r>
      <w:r w:rsidR="00517847">
        <w:rPr>
          <w:rFonts w:ascii="Georgia" w:hAnsi="Georgia"/>
          <w:sz w:val="23"/>
          <w:szCs w:val="23"/>
        </w:rPr>
        <w:t>defendants</w:t>
      </w:r>
      <w:r>
        <w:rPr>
          <w:rFonts w:ascii="Georgia" w:hAnsi="Georgia"/>
          <w:sz w:val="23"/>
          <w:szCs w:val="23"/>
        </w:rPr>
        <w:t xml:space="preserve"> attempted to call </w:t>
      </w:r>
      <w:r w:rsidR="00BA5615">
        <w:rPr>
          <w:rFonts w:ascii="Georgia" w:hAnsi="Georgia"/>
          <w:sz w:val="23"/>
          <w:szCs w:val="23"/>
        </w:rPr>
        <w:t>plaintiff’s</w:t>
      </w:r>
      <w:r>
        <w:rPr>
          <w:rFonts w:ascii="Georgia" w:hAnsi="Georgia"/>
          <w:sz w:val="23"/>
          <w:szCs w:val="23"/>
        </w:rPr>
        <w:t xml:space="preserve"> attorneys as witnesses during the R.C. 2323.51(B)(2) hearing on the sanctions motion, the trial court did not err in denying </w:t>
      </w:r>
      <w:r w:rsidR="00517847">
        <w:rPr>
          <w:rFonts w:ascii="Georgia" w:hAnsi="Georgia"/>
          <w:sz w:val="23"/>
          <w:szCs w:val="23"/>
        </w:rPr>
        <w:t>defendants’</w:t>
      </w:r>
      <w:r>
        <w:rPr>
          <w:rFonts w:ascii="Georgia" w:hAnsi="Georgia"/>
          <w:sz w:val="23"/>
          <w:szCs w:val="23"/>
        </w:rPr>
        <w:t xml:space="preserve"> request </w:t>
      </w:r>
      <w:r w:rsidR="00517847">
        <w:rPr>
          <w:rFonts w:ascii="Georgia" w:hAnsi="Georgia"/>
          <w:sz w:val="23"/>
          <w:szCs w:val="23"/>
        </w:rPr>
        <w:t xml:space="preserve">where the testimony </w:t>
      </w:r>
      <w:r>
        <w:rPr>
          <w:rFonts w:ascii="Georgia" w:hAnsi="Georgia"/>
          <w:sz w:val="23"/>
          <w:szCs w:val="23"/>
        </w:rPr>
        <w:t>was not relevant to the objective inquiry of R.C. 2323.51.</w:t>
      </w:r>
    </w:p>
    <w:p w14:paraId="608976E9" w14:textId="77777777" w:rsidR="00301AE9" w:rsidRDefault="00301AE9" w:rsidP="00D26921">
      <w:pPr>
        <w:jc w:val="both"/>
        <w:rPr>
          <w:rFonts w:ascii="Georgia" w:hAnsi="Georgia"/>
          <w:sz w:val="23"/>
          <w:szCs w:val="23"/>
        </w:rPr>
      </w:pPr>
    </w:p>
    <w:p w14:paraId="38AFFE4A" w14:textId="77777777" w:rsidR="0024101A" w:rsidRDefault="0024101A" w:rsidP="001C0ADC">
      <w:pPr>
        <w:jc w:val="both"/>
        <w:rPr>
          <w:rFonts w:ascii="Georgia" w:hAnsi="Georgia"/>
          <w:sz w:val="23"/>
          <w:szCs w:val="23"/>
        </w:rPr>
      </w:pPr>
    </w:p>
    <w:p w14:paraId="52BB3AB1" w14:textId="023AFB21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3C20AB">
        <w:rPr>
          <w:rFonts w:ascii="Georgia" w:hAnsi="Georgia"/>
          <w:sz w:val="23"/>
          <w:szCs w:val="23"/>
        </w:rPr>
        <w:t>AFFIRMED</w:t>
      </w:r>
      <w:r w:rsidR="00D12B85">
        <w:rPr>
          <w:rFonts w:ascii="Georgia" w:hAnsi="Georgia"/>
          <w:sz w:val="23"/>
          <w:szCs w:val="23"/>
        </w:rPr>
        <w:t xml:space="preserve"> IN PART, </w:t>
      </w:r>
      <w:r w:rsidR="001922FD">
        <w:rPr>
          <w:rFonts w:ascii="Georgia" w:hAnsi="Georgia"/>
          <w:sz w:val="23"/>
          <w:szCs w:val="23"/>
        </w:rPr>
        <w:t>REVERSED</w:t>
      </w:r>
      <w:r w:rsidR="00D12B85">
        <w:rPr>
          <w:rFonts w:ascii="Georgia" w:hAnsi="Georgia"/>
          <w:sz w:val="23"/>
          <w:szCs w:val="23"/>
        </w:rPr>
        <w:t xml:space="preserve"> IN PART, AND CAUSE REMANDED</w:t>
      </w:r>
      <w:r w:rsidR="00D12B85">
        <w:rPr>
          <w:rFonts w:ascii="Georgia" w:hAnsi="Georgia"/>
          <w:sz w:val="23"/>
          <w:szCs w:val="23"/>
        </w:rPr>
        <w:tab/>
      </w:r>
      <w:r w:rsidR="006E7F6F">
        <w:rPr>
          <w:rFonts w:ascii="Georgia" w:hAnsi="Georgia"/>
          <w:sz w:val="23"/>
          <w:szCs w:val="23"/>
        </w:rPr>
        <w:t xml:space="preserve"> </w:t>
      </w:r>
    </w:p>
    <w:p w14:paraId="73C78206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47D40555" w14:textId="7E5032FF" w:rsidR="00E45D57" w:rsidRDefault="009F5215" w:rsidP="00E45D57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="00E45D57">
        <w:rPr>
          <w:rFonts w:ascii="Georgia" w:hAnsi="Georgia"/>
          <w:sz w:val="23"/>
          <w:szCs w:val="23"/>
        </w:rPr>
        <w:t>OPINION by BERGERON, J.;</w:t>
      </w:r>
      <w:r w:rsidR="003C20AB">
        <w:rPr>
          <w:rFonts w:ascii="Georgia" w:hAnsi="Georgia"/>
          <w:sz w:val="23"/>
          <w:szCs w:val="23"/>
        </w:rPr>
        <w:t xml:space="preserve"> </w:t>
      </w:r>
      <w:r w:rsidR="00D12B85">
        <w:rPr>
          <w:rFonts w:ascii="Georgia" w:hAnsi="Georgia"/>
          <w:sz w:val="23"/>
          <w:szCs w:val="23"/>
        </w:rPr>
        <w:t>BOCK, P.J.,</w:t>
      </w:r>
      <w:r w:rsidR="001157FC">
        <w:rPr>
          <w:rFonts w:ascii="Georgia" w:hAnsi="Georgia"/>
          <w:sz w:val="23"/>
          <w:szCs w:val="23"/>
        </w:rPr>
        <w:t xml:space="preserve"> and </w:t>
      </w:r>
      <w:r w:rsidR="00D12B85">
        <w:rPr>
          <w:rFonts w:ascii="Georgia" w:hAnsi="Georgia"/>
          <w:sz w:val="23"/>
          <w:szCs w:val="23"/>
        </w:rPr>
        <w:t>CROUSE</w:t>
      </w:r>
      <w:r w:rsidR="001157FC">
        <w:rPr>
          <w:rFonts w:ascii="Georgia" w:hAnsi="Georgia"/>
          <w:sz w:val="23"/>
          <w:szCs w:val="23"/>
        </w:rPr>
        <w:t>,</w:t>
      </w:r>
      <w:r w:rsidR="003C20AB">
        <w:rPr>
          <w:rFonts w:ascii="Georgia" w:hAnsi="Georgia"/>
          <w:sz w:val="23"/>
          <w:szCs w:val="23"/>
        </w:rPr>
        <w:t xml:space="preserve"> J., CONCUR</w:t>
      </w:r>
      <w:r w:rsidR="00147D3D">
        <w:rPr>
          <w:rFonts w:ascii="Georgia" w:hAnsi="Georgia"/>
          <w:sz w:val="23"/>
          <w:szCs w:val="23"/>
        </w:rPr>
        <w:t>.</w:t>
      </w:r>
    </w:p>
    <w:p w14:paraId="6922C107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3434C"/>
    <w:rsid w:val="00077B98"/>
    <w:rsid w:val="000E7008"/>
    <w:rsid w:val="000F706C"/>
    <w:rsid w:val="00101003"/>
    <w:rsid w:val="001157FC"/>
    <w:rsid w:val="00147D3D"/>
    <w:rsid w:val="00162233"/>
    <w:rsid w:val="00172D67"/>
    <w:rsid w:val="00183C4E"/>
    <w:rsid w:val="001922FD"/>
    <w:rsid w:val="001B7EE3"/>
    <w:rsid w:val="001C0ADC"/>
    <w:rsid w:val="0024101A"/>
    <w:rsid w:val="002535E9"/>
    <w:rsid w:val="00276D2B"/>
    <w:rsid w:val="002D2968"/>
    <w:rsid w:val="002D7F0C"/>
    <w:rsid w:val="002E61A2"/>
    <w:rsid w:val="002F1881"/>
    <w:rsid w:val="00301AE9"/>
    <w:rsid w:val="00310B6D"/>
    <w:rsid w:val="003231DE"/>
    <w:rsid w:val="00324040"/>
    <w:rsid w:val="00327A5A"/>
    <w:rsid w:val="00364EFA"/>
    <w:rsid w:val="00393B40"/>
    <w:rsid w:val="003A08D1"/>
    <w:rsid w:val="003C20AB"/>
    <w:rsid w:val="00413883"/>
    <w:rsid w:val="0042191E"/>
    <w:rsid w:val="00431144"/>
    <w:rsid w:val="004401AC"/>
    <w:rsid w:val="00450518"/>
    <w:rsid w:val="00466478"/>
    <w:rsid w:val="004778A8"/>
    <w:rsid w:val="004933D8"/>
    <w:rsid w:val="004B294A"/>
    <w:rsid w:val="004B59DB"/>
    <w:rsid w:val="004E575D"/>
    <w:rsid w:val="00516521"/>
    <w:rsid w:val="00517847"/>
    <w:rsid w:val="005214AB"/>
    <w:rsid w:val="005704B5"/>
    <w:rsid w:val="00591243"/>
    <w:rsid w:val="00595035"/>
    <w:rsid w:val="005A7800"/>
    <w:rsid w:val="005C353B"/>
    <w:rsid w:val="005E366D"/>
    <w:rsid w:val="005F78E9"/>
    <w:rsid w:val="006000DE"/>
    <w:rsid w:val="0060773E"/>
    <w:rsid w:val="00612520"/>
    <w:rsid w:val="006148D6"/>
    <w:rsid w:val="00631B14"/>
    <w:rsid w:val="006451E7"/>
    <w:rsid w:val="006508AE"/>
    <w:rsid w:val="00652AFB"/>
    <w:rsid w:val="00680BBA"/>
    <w:rsid w:val="006E1DA6"/>
    <w:rsid w:val="006E7F6F"/>
    <w:rsid w:val="007352C2"/>
    <w:rsid w:val="007362FD"/>
    <w:rsid w:val="00746E05"/>
    <w:rsid w:val="00750BD6"/>
    <w:rsid w:val="007578ED"/>
    <w:rsid w:val="00760A9C"/>
    <w:rsid w:val="00781144"/>
    <w:rsid w:val="007A2F3A"/>
    <w:rsid w:val="007B6A49"/>
    <w:rsid w:val="007C7417"/>
    <w:rsid w:val="007E1A6D"/>
    <w:rsid w:val="007E3C40"/>
    <w:rsid w:val="007E54BF"/>
    <w:rsid w:val="007E784B"/>
    <w:rsid w:val="00802F49"/>
    <w:rsid w:val="00843F2A"/>
    <w:rsid w:val="008577E9"/>
    <w:rsid w:val="0087657D"/>
    <w:rsid w:val="008B031A"/>
    <w:rsid w:val="008B0720"/>
    <w:rsid w:val="008C739F"/>
    <w:rsid w:val="008D5426"/>
    <w:rsid w:val="00936485"/>
    <w:rsid w:val="009442E6"/>
    <w:rsid w:val="00946827"/>
    <w:rsid w:val="00950612"/>
    <w:rsid w:val="00962402"/>
    <w:rsid w:val="00970822"/>
    <w:rsid w:val="009731B2"/>
    <w:rsid w:val="00995328"/>
    <w:rsid w:val="009A0F0C"/>
    <w:rsid w:val="009A3DDB"/>
    <w:rsid w:val="009B7AFB"/>
    <w:rsid w:val="009C2D80"/>
    <w:rsid w:val="009E38CD"/>
    <w:rsid w:val="009F064D"/>
    <w:rsid w:val="009F352C"/>
    <w:rsid w:val="009F5215"/>
    <w:rsid w:val="00A14B2C"/>
    <w:rsid w:val="00A233BB"/>
    <w:rsid w:val="00A53CC8"/>
    <w:rsid w:val="00A64860"/>
    <w:rsid w:val="00A7125A"/>
    <w:rsid w:val="00A7266E"/>
    <w:rsid w:val="00A72F82"/>
    <w:rsid w:val="00AB565D"/>
    <w:rsid w:val="00AC1F9B"/>
    <w:rsid w:val="00B05478"/>
    <w:rsid w:val="00B07F84"/>
    <w:rsid w:val="00B11C47"/>
    <w:rsid w:val="00B36F64"/>
    <w:rsid w:val="00B62533"/>
    <w:rsid w:val="00B776BA"/>
    <w:rsid w:val="00B83566"/>
    <w:rsid w:val="00B971F3"/>
    <w:rsid w:val="00B97463"/>
    <w:rsid w:val="00BA5615"/>
    <w:rsid w:val="00BB62DF"/>
    <w:rsid w:val="00C426E2"/>
    <w:rsid w:val="00C621BC"/>
    <w:rsid w:val="00C839C2"/>
    <w:rsid w:val="00CA04A5"/>
    <w:rsid w:val="00CA0BE8"/>
    <w:rsid w:val="00CA319E"/>
    <w:rsid w:val="00CA5EE6"/>
    <w:rsid w:val="00CC5396"/>
    <w:rsid w:val="00CD264C"/>
    <w:rsid w:val="00CF5392"/>
    <w:rsid w:val="00D07647"/>
    <w:rsid w:val="00D12B85"/>
    <w:rsid w:val="00D26921"/>
    <w:rsid w:val="00D356D1"/>
    <w:rsid w:val="00D506E0"/>
    <w:rsid w:val="00DB47E7"/>
    <w:rsid w:val="00DB6D8E"/>
    <w:rsid w:val="00DD2840"/>
    <w:rsid w:val="00E23DA1"/>
    <w:rsid w:val="00E27835"/>
    <w:rsid w:val="00E27B67"/>
    <w:rsid w:val="00E45D57"/>
    <w:rsid w:val="00E7692B"/>
    <w:rsid w:val="00E77E36"/>
    <w:rsid w:val="00E9119D"/>
    <w:rsid w:val="00ED3BEB"/>
    <w:rsid w:val="00ED5497"/>
    <w:rsid w:val="00EE0D1A"/>
    <w:rsid w:val="00EF6699"/>
    <w:rsid w:val="00F1235D"/>
    <w:rsid w:val="00F30DEF"/>
    <w:rsid w:val="00F66358"/>
    <w:rsid w:val="00F76999"/>
    <w:rsid w:val="00F86266"/>
    <w:rsid w:val="00FC567B"/>
    <w:rsid w:val="00FD1B13"/>
    <w:rsid w:val="00FE71A0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18E8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1672</Characters>
  <Application>Microsoft Office Word</Application>
  <DocSecurity>4</DocSecurity>
  <Lines>185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C-230394, C-230395</vt:lpstr>
    </vt:vector>
  </TitlesOfParts>
  <Company>1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C-230513, C-230515</dc:title>
  <dc:creator>.</dc:creator>
  <cp:lastModifiedBy>Renata Freese</cp:lastModifiedBy>
  <cp:revision>2</cp:revision>
  <dcterms:created xsi:type="dcterms:W3CDTF">2024-05-21T14:46:00Z</dcterms:created>
  <dcterms:modified xsi:type="dcterms:W3CDTF">2024-05-21T14:46:00Z</dcterms:modified>
</cp:coreProperties>
</file>