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A79FB" w14:textId="1734071C" w:rsidR="008F7A21" w:rsidRPr="007C6CA4"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1D5094">
        <w:rPr>
          <w:rFonts w:ascii="Georgia" w:hAnsi="Georgia"/>
          <w:caps/>
          <w:sz w:val="23"/>
          <w:szCs w:val="23"/>
          <w:lang w:val="en-US"/>
        </w:rPr>
        <w:t xml:space="preserve">State v. </w:t>
      </w:r>
      <w:r w:rsidR="002F03B8">
        <w:rPr>
          <w:rFonts w:ascii="Georgia" w:hAnsi="Georgia"/>
          <w:caps/>
          <w:sz w:val="23"/>
          <w:szCs w:val="23"/>
          <w:lang w:val="en-US"/>
        </w:rPr>
        <w:t>Lawson</w:t>
      </w:r>
    </w:p>
    <w:p w14:paraId="4926881F" w14:textId="4E3F4390" w:rsidR="008F7A21" w:rsidRPr="001B4318" w:rsidRDefault="007A78DC" w:rsidP="008F7A21">
      <w:pPr>
        <w:jc w:val="both"/>
        <w:rPr>
          <w:rFonts w:ascii="Georgia" w:hAnsi="Georgia"/>
          <w:b/>
          <w:sz w:val="23"/>
          <w:szCs w:val="23"/>
        </w:rPr>
      </w:pPr>
      <w:r>
        <w:rPr>
          <w:rFonts w:ascii="Georgia" w:hAnsi="Georgia"/>
          <w:b/>
          <w:sz w:val="23"/>
          <w:szCs w:val="23"/>
        </w:rPr>
        <w:t>06-28-24</w:t>
      </w:r>
    </w:p>
    <w:p w14:paraId="6640E35A" w14:textId="35B795A4" w:rsidR="008F7A21"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1626F6">
        <w:rPr>
          <w:rFonts w:ascii="Georgia" w:hAnsi="Georgia"/>
          <w:sz w:val="23"/>
          <w:szCs w:val="23"/>
        </w:rPr>
        <w:tab/>
      </w:r>
      <w:r w:rsidR="002C1D40">
        <w:rPr>
          <w:rFonts w:ascii="Georgia" w:hAnsi="Georgia"/>
          <w:sz w:val="23"/>
          <w:szCs w:val="23"/>
        </w:rPr>
        <w:t>C-</w:t>
      </w:r>
      <w:r w:rsidR="005839FE">
        <w:rPr>
          <w:rFonts w:ascii="Georgia" w:hAnsi="Georgia"/>
          <w:sz w:val="23"/>
          <w:szCs w:val="23"/>
        </w:rPr>
        <w:t>230</w:t>
      </w:r>
      <w:r w:rsidR="002F03B8">
        <w:rPr>
          <w:rFonts w:ascii="Georgia" w:hAnsi="Georgia"/>
          <w:sz w:val="23"/>
          <w:szCs w:val="23"/>
        </w:rPr>
        <w:t>633</w:t>
      </w:r>
    </w:p>
    <w:p w14:paraId="625EE895" w14:textId="77777777" w:rsidR="008F7A21" w:rsidRPr="001B4318" w:rsidRDefault="008F7A21" w:rsidP="008F7A21">
      <w:pPr>
        <w:jc w:val="both"/>
        <w:rPr>
          <w:rFonts w:ascii="Georgia" w:hAnsi="Georgia"/>
          <w:sz w:val="23"/>
          <w:szCs w:val="23"/>
        </w:rPr>
      </w:pPr>
    </w:p>
    <w:p w14:paraId="6E0D83C1" w14:textId="18AFD8ED"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1D629D">
        <w:rPr>
          <w:rFonts w:ascii="Georgia" w:hAnsi="Georgia"/>
          <w:sz w:val="23"/>
        </w:rPr>
        <w:t>B-</w:t>
      </w:r>
      <w:r w:rsidR="002F03B8">
        <w:rPr>
          <w:rFonts w:ascii="Georgia" w:hAnsi="Georgia"/>
          <w:sz w:val="23"/>
        </w:rPr>
        <w:t>2204156-A</w:t>
      </w:r>
    </w:p>
    <w:p w14:paraId="178464F9" w14:textId="77777777" w:rsidR="008B0C13" w:rsidRPr="001B4318" w:rsidRDefault="008B0C13" w:rsidP="008F7A21">
      <w:pPr>
        <w:jc w:val="both"/>
        <w:rPr>
          <w:rFonts w:ascii="Georgia" w:hAnsi="Georgia"/>
          <w:sz w:val="23"/>
          <w:szCs w:val="23"/>
        </w:rPr>
      </w:pPr>
    </w:p>
    <w:p w14:paraId="4D2260A0" w14:textId="618B83BC" w:rsidR="00586B56" w:rsidRPr="00C63E0E" w:rsidRDefault="008F7A21" w:rsidP="006925E0">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2F03B8">
        <w:rPr>
          <w:rFonts w:ascii="Georgia" w:hAnsi="Georgia"/>
          <w:caps/>
          <w:sz w:val="23"/>
          <w:szCs w:val="23"/>
        </w:rPr>
        <w:t>Venue – complicity – sufficiency – manifest weight</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19A56CBD" w14:textId="7AAD99D9" w:rsidR="001D5094" w:rsidRDefault="007C6CA4" w:rsidP="001D629D">
      <w:pPr>
        <w:pStyle w:val="NoSpacing"/>
        <w:ind w:firstLine="2160"/>
        <w:jc w:val="both"/>
        <w:rPr>
          <w:rFonts w:ascii="Georgia" w:hAnsi="Georgia"/>
          <w:sz w:val="23"/>
          <w:szCs w:val="23"/>
        </w:rPr>
      </w:pPr>
      <w:r>
        <w:rPr>
          <w:rFonts w:ascii="Georgia" w:hAnsi="Georgia"/>
          <w:sz w:val="23"/>
          <w:szCs w:val="23"/>
        </w:rPr>
        <w:t xml:space="preserve">The </w:t>
      </w:r>
      <w:r w:rsidR="002F03B8">
        <w:rPr>
          <w:rFonts w:ascii="Georgia" w:hAnsi="Georgia"/>
          <w:sz w:val="23"/>
          <w:szCs w:val="23"/>
        </w:rPr>
        <w:t xml:space="preserve">state adduced sufficient evidence of venue in Hamilton County where the victim of a burglary testified that he lived in Saylor Park, located in Hamilton County, and a neighbor who testified to witnessing portions of the crime </w:t>
      </w:r>
      <w:r w:rsidR="006B6BA4">
        <w:rPr>
          <w:rFonts w:ascii="Georgia" w:hAnsi="Georgia"/>
          <w:sz w:val="23"/>
          <w:szCs w:val="23"/>
        </w:rPr>
        <w:t xml:space="preserve">from the front of his house </w:t>
      </w:r>
      <w:r w:rsidR="002F03B8">
        <w:rPr>
          <w:rFonts w:ascii="Georgia" w:hAnsi="Georgia"/>
          <w:sz w:val="23"/>
          <w:szCs w:val="23"/>
        </w:rPr>
        <w:t>stated that he lived in Saylor Park.</w:t>
      </w:r>
    </w:p>
    <w:p w14:paraId="14D56039" w14:textId="77777777" w:rsidR="0076749A" w:rsidRDefault="0076749A" w:rsidP="001D629D">
      <w:pPr>
        <w:pStyle w:val="NoSpacing"/>
        <w:ind w:firstLine="2160"/>
        <w:jc w:val="both"/>
        <w:rPr>
          <w:rFonts w:ascii="Georgia" w:hAnsi="Georgia"/>
          <w:sz w:val="23"/>
          <w:szCs w:val="23"/>
        </w:rPr>
      </w:pPr>
    </w:p>
    <w:p w14:paraId="205E7519" w14:textId="6146C99E" w:rsidR="0076749A" w:rsidRPr="00187F3F" w:rsidRDefault="002F03B8" w:rsidP="001D629D">
      <w:pPr>
        <w:pStyle w:val="NoSpacing"/>
        <w:ind w:firstLine="2160"/>
        <w:jc w:val="both"/>
        <w:rPr>
          <w:rFonts w:ascii="Georgia" w:hAnsi="Georgia"/>
          <w:sz w:val="23"/>
          <w:szCs w:val="23"/>
        </w:rPr>
      </w:pPr>
      <w:r>
        <w:rPr>
          <w:rFonts w:ascii="Georgia" w:hAnsi="Georgia"/>
          <w:sz w:val="23"/>
          <w:szCs w:val="23"/>
        </w:rPr>
        <w:t xml:space="preserve">Defendant’s conviction for complicity to commit burglary was supported by sufficient evidence and was not against the manifest weight of the evidence where defendant’s brother, but not defendant, was alleged to have committed the burglary, defendant drove the getaway car, the victim testified that he had </w:t>
      </w:r>
      <w:r w:rsidR="00920616">
        <w:rPr>
          <w:rFonts w:ascii="Georgia" w:hAnsi="Georgia"/>
          <w:sz w:val="23"/>
          <w:szCs w:val="23"/>
        </w:rPr>
        <w:t>spoken only with</w:t>
      </w:r>
      <w:r>
        <w:rPr>
          <w:rFonts w:ascii="Georgia" w:hAnsi="Georgia"/>
          <w:sz w:val="23"/>
          <w:szCs w:val="23"/>
        </w:rPr>
        <w:t xml:space="preserve"> defendant </w:t>
      </w:r>
      <w:r w:rsidR="00920616">
        <w:rPr>
          <w:rFonts w:ascii="Georgia" w:hAnsi="Georgia"/>
          <w:sz w:val="23"/>
          <w:szCs w:val="23"/>
        </w:rPr>
        <w:t>immediately before he left town with his wife</w:t>
      </w:r>
      <w:r>
        <w:rPr>
          <w:rFonts w:ascii="Georgia" w:hAnsi="Georgia"/>
          <w:sz w:val="23"/>
          <w:szCs w:val="23"/>
        </w:rPr>
        <w:t xml:space="preserve">, and a neighbor witnessed defendant pull the car up to the side door of the victim’s home where </w:t>
      </w:r>
      <w:r w:rsidR="00D228C4">
        <w:rPr>
          <w:rFonts w:ascii="Georgia" w:hAnsi="Georgia"/>
          <w:sz w:val="23"/>
          <w:szCs w:val="23"/>
        </w:rPr>
        <w:t>defendant’s brother exited immediately after defendant spoke with someone on the phone.</w:t>
      </w:r>
    </w:p>
    <w:p w14:paraId="4900D89F" w14:textId="77777777" w:rsidR="008F7A21" w:rsidRPr="002510B4" w:rsidRDefault="008F7A21" w:rsidP="008F7A21">
      <w:pPr>
        <w:jc w:val="both"/>
        <w:rPr>
          <w:rFonts w:ascii="Georgia" w:hAnsi="Georgia"/>
          <w:sz w:val="23"/>
          <w:szCs w:val="23"/>
        </w:rPr>
      </w:pPr>
    </w:p>
    <w:p w14:paraId="4083326A" w14:textId="0F651F4D"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76749A">
        <w:rPr>
          <w:rFonts w:ascii="Georgia" w:hAnsi="Georgia"/>
          <w:caps/>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0CC1E288"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J.; </w:t>
      </w:r>
      <w:r w:rsidR="002F03B8">
        <w:rPr>
          <w:rFonts w:ascii="Georgia" w:hAnsi="Georgia"/>
          <w:caps/>
          <w:sz w:val="23"/>
          <w:szCs w:val="23"/>
        </w:rPr>
        <w:t>Zayas</w:t>
      </w:r>
      <w:r w:rsidR="007C6CA4">
        <w:rPr>
          <w:rFonts w:ascii="Georgia" w:hAnsi="Georgia"/>
          <w:caps/>
          <w:sz w:val="23"/>
          <w:szCs w:val="23"/>
        </w:rPr>
        <w:t>, P.J.</w:t>
      </w:r>
      <w:r w:rsidR="008D4FFC">
        <w:rPr>
          <w:rFonts w:ascii="Georgia" w:hAnsi="Georgia"/>
          <w:caps/>
          <w:sz w:val="23"/>
          <w:szCs w:val="23"/>
        </w:rPr>
        <w:t>,</w:t>
      </w:r>
      <w:r w:rsidR="007C6CA4">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2F03B8">
        <w:rPr>
          <w:rFonts w:ascii="Georgia" w:hAnsi="Georgia"/>
          <w:caps/>
          <w:sz w:val="23"/>
          <w:szCs w:val="23"/>
        </w:rPr>
        <w:t>Winkler</w:t>
      </w:r>
      <w:r w:rsidR="00765368" w:rsidRPr="00765368">
        <w:rPr>
          <w:rFonts w:ascii="Georgia" w:hAnsi="Georgia"/>
          <w:caps/>
          <w:sz w:val="23"/>
          <w:szCs w:val="23"/>
        </w:rPr>
        <w:t xml:space="preserve">, </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307AF"/>
    <w:rsid w:val="00044831"/>
    <w:rsid w:val="000757E0"/>
    <w:rsid w:val="00082A28"/>
    <w:rsid w:val="000A3EEA"/>
    <w:rsid w:val="000A4C9A"/>
    <w:rsid w:val="000E1833"/>
    <w:rsid w:val="00100E31"/>
    <w:rsid w:val="00142612"/>
    <w:rsid w:val="001458A9"/>
    <w:rsid w:val="001626F6"/>
    <w:rsid w:val="001A4703"/>
    <w:rsid w:val="001D1316"/>
    <w:rsid w:val="001D404E"/>
    <w:rsid w:val="001D5094"/>
    <w:rsid w:val="001D629D"/>
    <w:rsid w:val="002C1D40"/>
    <w:rsid w:val="002E2E63"/>
    <w:rsid w:val="002F03B8"/>
    <w:rsid w:val="003B283E"/>
    <w:rsid w:val="003E3CFA"/>
    <w:rsid w:val="004752CF"/>
    <w:rsid w:val="004A7FA7"/>
    <w:rsid w:val="004B2B06"/>
    <w:rsid w:val="004C1C6C"/>
    <w:rsid w:val="004E2795"/>
    <w:rsid w:val="004F1FA7"/>
    <w:rsid w:val="0053705A"/>
    <w:rsid w:val="005839FE"/>
    <w:rsid w:val="00586B56"/>
    <w:rsid w:val="005B170B"/>
    <w:rsid w:val="005F3864"/>
    <w:rsid w:val="006925E0"/>
    <w:rsid w:val="006B4848"/>
    <w:rsid w:val="006B6BA4"/>
    <w:rsid w:val="00765368"/>
    <w:rsid w:val="0076749A"/>
    <w:rsid w:val="00771C2C"/>
    <w:rsid w:val="007A78DC"/>
    <w:rsid w:val="007C476E"/>
    <w:rsid w:val="007C6CA4"/>
    <w:rsid w:val="007D135B"/>
    <w:rsid w:val="00860291"/>
    <w:rsid w:val="00881C30"/>
    <w:rsid w:val="008B0C13"/>
    <w:rsid w:val="008B21FE"/>
    <w:rsid w:val="008D4FFC"/>
    <w:rsid w:val="008F7A21"/>
    <w:rsid w:val="00906783"/>
    <w:rsid w:val="00920616"/>
    <w:rsid w:val="00923CB6"/>
    <w:rsid w:val="00990828"/>
    <w:rsid w:val="00995DB3"/>
    <w:rsid w:val="009C5E61"/>
    <w:rsid w:val="009E0A55"/>
    <w:rsid w:val="009F7A19"/>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67F4C"/>
    <w:rsid w:val="00C7294E"/>
    <w:rsid w:val="00C91EEF"/>
    <w:rsid w:val="00CB1180"/>
    <w:rsid w:val="00D228C4"/>
    <w:rsid w:val="00D238A6"/>
    <w:rsid w:val="00D95CF3"/>
    <w:rsid w:val="00DA51EA"/>
    <w:rsid w:val="00DB3212"/>
    <w:rsid w:val="00DE52E6"/>
    <w:rsid w:val="00DE7CEF"/>
    <w:rsid w:val="00DF592D"/>
    <w:rsid w:val="00E029A6"/>
    <w:rsid w:val="00EA1AA8"/>
    <w:rsid w:val="00ED62C1"/>
    <w:rsid w:val="00F451A5"/>
    <w:rsid w:val="00F9231B"/>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C-230633</dc:title>
  <dc:creator>.</dc:creator>
  <cp:lastModifiedBy>Renata Freese</cp:lastModifiedBy>
  <cp:revision>2</cp:revision>
  <dcterms:created xsi:type="dcterms:W3CDTF">2024-06-27T13:35:00Z</dcterms:created>
  <dcterms:modified xsi:type="dcterms:W3CDTF">2024-06-27T13:35:00Z</dcterms:modified>
</cp:coreProperties>
</file>